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6AB885">
      <w:pPr>
        <w:jc w:val="center"/>
        <w:rPr>
          <w:rFonts w:ascii="宋体" w:hAnsi="宋体" w:cs="宋体"/>
          <w:b/>
          <w:bCs/>
          <w:sz w:val="30"/>
          <w:szCs w:val="30"/>
        </w:rPr>
      </w:pPr>
      <w:r>
        <w:rPr>
          <w:rFonts w:hint="eastAsia" w:ascii="宋体" w:hAnsi="宋体" w:cs="宋体"/>
          <w:b/>
          <w:sz w:val="32"/>
          <w:szCs w:val="32"/>
        </w:rPr>
        <w:t>福建广生堂药业股份有限公司</w:t>
      </w:r>
    </w:p>
    <w:p w14:paraId="3C35CEC3">
      <w:pPr>
        <w:jc w:val="center"/>
        <w:rPr>
          <w:rFonts w:ascii="宋体" w:hAnsi="宋体" w:cs="宋体"/>
          <w:sz w:val="32"/>
          <w:szCs w:val="32"/>
        </w:rPr>
      </w:pPr>
      <w:r>
        <w:rPr>
          <w:rFonts w:hint="eastAsia" w:ascii="宋体" w:hAnsi="宋体" w:cs="宋体"/>
          <w:b/>
          <w:bCs/>
          <w:sz w:val="32"/>
          <w:szCs w:val="32"/>
        </w:rPr>
        <w:t>2024年度独立董事述职报告（陈明宇）</w:t>
      </w:r>
    </w:p>
    <w:p w14:paraId="7749DFD6">
      <w:pPr>
        <w:spacing w:before="156" w:beforeLines="50" w:after="156" w:afterLines="50" w:line="360" w:lineRule="auto"/>
        <w:jc w:val="left"/>
        <w:rPr>
          <w:rFonts w:ascii="宋体" w:hAnsi="宋体" w:cs="宋体"/>
          <w:sz w:val="24"/>
          <w:szCs w:val="24"/>
        </w:rPr>
      </w:pPr>
      <w:r>
        <w:rPr>
          <w:rFonts w:hint="eastAsia" w:ascii="宋体" w:hAnsi="宋体" w:cs="宋体"/>
          <w:sz w:val="24"/>
          <w:szCs w:val="24"/>
          <w:shd w:val="clear" w:color="auto" w:fill="FFFFFF"/>
        </w:rPr>
        <w:t>各位股东及股东代表：</w:t>
      </w:r>
    </w:p>
    <w:p w14:paraId="681CFC24">
      <w:pPr>
        <w:widowControl w:val="0"/>
        <w:spacing w:line="360" w:lineRule="auto"/>
        <w:ind w:firstLine="480" w:firstLineChars="200"/>
        <w:rPr>
          <w:rFonts w:ascii="宋体" w:hAnsi="宋体" w:cs="宋体"/>
        </w:rPr>
      </w:pPr>
      <w:r>
        <w:rPr>
          <w:rFonts w:hint="eastAsia" w:ascii="宋体" w:hAnsi="宋体" w:cs="宋体"/>
          <w:sz w:val="24"/>
          <w:szCs w:val="22"/>
        </w:rPr>
        <w:t>2024年度，作为福建广生堂药业股份有限公司（以下简称“公司”或“广生堂”）的独立董事，本人严格按照《中华人民共和国公司法》（以下简称“《公司法》”）《中华人民共和国证券法》（以下简称“《证券法》”）《上市公司独立董事管理办法》等有关法律、法规、规范性文件及《公司章程》《独立董事制度》的规定和要求，本着对全体股东负责的态度，勤勉、忠实地履行独立董事职责，对公司重大事项发表客观、审慎、公正的事前认可或独立意见，积极维护公司利益和股东特别是中小股东的合法权益。本人于2024年6月24日换届后离任，现将本人2024年任期内的履职情况汇报如下：</w:t>
      </w:r>
      <w:r>
        <w:rPr>
          <w:rFonts w:hint="eastAsia" w:ascii="宋体" w:hAnsi="宋体" w:cs="宋体"/>
          <w:sz w:val="28"/>
          <w:szCs w:val="24"/>
        </w:rPr>
        <w:t xml:space="preserve"> </w:t>
      </w:r>
    </w:p>
    <w:p w14:paraId="3B01E465">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一、独立董事的基本情况</w:t>
      </w:r>
    </w:p>
    <w:p w14:paraId="52A3BF12">
      <w:pPr>
        <w:pStyle w:val="3"/>
        <w:widowControl w:val="0"/>
        <w:ind w:firstLine="482"/>
        <w:rPr>
          <w:rFonts w:cs="宋体"/>
        </w:rPr>
      </w:pPr>
      <w:r>
        <w:rPr>
          <w:rFonts w:hint="eastAsia" w:cs="宋体"/>
        </w:rPr>
        <w:t>（一）独立董事工作履历、专业背景及兼职情况</w:t>
      </w:r>
    </w:p>
    <w:p w14:paraId="6EE60135">
      <w:pPr>
        <w:widowControl w:val="0"/>
        <w:spacing w:line="360" w:lineRule="auto"/>
        <w:ind w:firstLine="480" w:firstLineChars="200"/>
        <w:rPr>
          <w:rFonts w:ascii="宋体" w:hAnsi="宋体" w:cs="宋体"/>
          <w:b/>
          <w:szCs w:val="22"/>
        </w:rPr>
      </w:pPr>
      <w:r>
        <w:rPr>
          <w:rFonts w:hint="eastAsia" w:ascii="宋体" w:hAnsi="宋体" w:cs="宋体"/>
          <w:sz w:val="24"/>
          <w:szCs w:val="22"/>
        </w:rPr>
        <w:t>陈明宇，1963年出生，中国香港籍，拥有美国福坦莫大学工商管理硕士学位，并于2000年一次性通过五科中国注册税务师考试获取中国注册税务师执业资格证书。曾先后担任德勤、安永、毕马威企业咨询公司的税务及商务合伙人负责多家大型中资企业全球财税及并购服务业务；陈明宇先生现任德与安（北京）企业咨询有限公司主管合伙人、清华大学客座教授，教授税务及海外并购管理、北京长信影视传媒有限公司独立董事、国药集团药业股份有限公司独立董事、雅迪集团控股有限公司独立董事。曾任公司第四届董事会独立董事。</w:t>
      </w:r>
    </w:p>
    <w:p w14:paraId="08C94F22">
      <w:pPr>
        <w:pStyle w:val="3"/>
        <w:widowControl w:val="0"/>
        <w:ind w:firstLine="482"/>
        <w:rPr>
          <w:rFonts w:cs="宋体"/>
        </w:rPr>
      </w:pPr>
      <w:r>
        <w:rPr>
          <w:rFonts w:hint="eastAsia" w:cs="宋体"/>
        </w:rPr>
        <w:t>（二）独立性说明</w:t>
      </w:r>
    </w:p>
    <w:p w14:paraId="2DED8F03">
      <w:pPr>
        <w:widowControl w:val="0"/>
        <w:spacing w:line="360" w:lineRule="auto"/>
        <w:ind w:firstLine="480" w:firstLineChars="200"/>
        <w:rPr>
          <w:rFonts w:ascii="宋体" w:hAnsi="宋体" w:cs="宋体"/>
          <w:szCs w:val="22"/>
        </w:rPr>
      </w:pPr>
      <w:r>
        <w:rPr>
          <w:rFonts w:hint="eastAsia" w:ascii="宋体" w:hAnsi="宋体" w:cs="宋体"/>
          <w:sz w:val="24"/>
          <w:szCs w:val="22"/>
        </w:rPr>
        <w:t>在担任公司独立董事期间，本人未在公司担任除独立董事以外的任何职务，也未在公司主要股东公司担任任何职务，与公司以及主要股东之间不存在妨碍本人进行独立客观判断的关系，不存在影响独立董事独立性的情况，符合《上市公司独立董事管理办法》《深圳证券交易所上市公司自律监管指引第2号——创业板上市公司规范运作》等法律、法规、规范性文件及《公司章程》《独立董事制度》中关于独立董事独立性的相关要求。</w:t>
      </w:r>
    </w:p>
    <w:p w14:paraId="0D9440C2">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二、独立董事年度履职概况</w:t>
      </w:r>
    </w:p>
    <w:p w14:paraId="0B84FDB7">
      <w:pPr>
        <w:pStyle w:val="3"/>
        <w:widowControl w:val="0"/>
        <w:ind w:firstLine="482"/>
        <w:rPr>
          <w:rFonts w:cs="宋体"/>
        </w:rPr>
      </w:pPr>
      <w:r>
        <w:rPr>
          <w:rFonts w:hint="eastAsia" w:cs="宋体"/>
        </w:rPr>
        <w:t xml:space="preserve">（一）出席董事会及股东大会情况 </w:t>
      </w:r>
    </w:p>
    <w:p w14:paraId="0806018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共召开4次董事会和3次股东大会，本人均亲自出席会议。作为独立董事，任职期间本人能够投入足够的时间和精力，专业、高效地履行职责，认真审阅董事会会议的各项议案，按时出席公司组织召开的董事会，以严谨的态度行使表决权，没有缺席或连续两次未出席会议的情况，没有授权委托其他独立董事出席会议的情况。本人认为：公司股东大会、董事会的召集召开合法合规，重大事项均履行了合法有效的审批程序，会议相关决议符合公司整体利益，均未损害公司全体股东特别是中小股东的合法权益。本人对公司报告期内董事会各项议案及公司其他事项均投了赞成票，无提出异议的事项，也无反对、弃权的情形。报告期内，未有提议召开董事会情况发生。</w:t>
      </w:r>
    </w:p>
    <w:p w14:paraId="6975DD7A">
      <w:pPr>
        <w:pStyle w:val="3"/>
        <w:widowControl w:val="0"/>
        <w:ind w:firstLine="482"/>
        <w:rPr>
          <w:rFonts w:cs="宋体"/>
        </w:rPr>
      </w:pPr>
      <w:r>
        <w:rPr>
          <w:rFonts w:hint="eastAsia" w:cs="宋体"/>
        </w:rPr>
        <w:t xml:space="preserve">（二）出席董事会专门委员会、独立董事专门会议工作情况 </w:t>
      </w:r>
    </w:p>
    <w:p w14:paraId="69BE830F">
      <w:pPr>
        <w:widowControl w:val="0"/>
        <w:spacing w:line="480" w:lineRule="exact"/>
        <w:ind w:firstLine="482"/>
        <w:rPr>
          <w:rFonts w:ascii="宋体" w:hAnsi="宋体" w:cs="宋体"/>
          <w:sz w:val="24"/>
          <w:szCs w:val="22"/>
        </w:rPr>
      </w:pPr>
      <w:r>
        <w:rPr>
          <w:rFonts w:hint="eastAsia" w:ascii="宋体" w:hAnsi="宋体" w:cs="宋体"/>
          <w:sz w:val="24"/>
          <w:szCs w:val="22"/>
        </w:rPr>
        <w:t>报告期的任职期内，本人担任公司第四届董事会提名委员会主任委员、第四届董事会薪酬与考核委员会委员、第四届董事会审计委员会委员。按照公司《提名委员会议事规则》《薪酬与考核委员会议事规则》《审计委员会议事规则》《独立董事制度》的相关要求，充分行使自己的各项合法权利和义务。</w:t>
      </w:r>
    </w:p>
    <w:p w14:paraId="4CB6CC50">
      <w:pPr>
        <w:widowControl w:val="0"/>
        <w:spacing w:line="360" w:lineRule="auto"/>
        <w:ind w:firstLine="480" w:firstLineChars="200"/>
        <w:rPr>
          <w:rFonts w:ascii="宋体" w:hAnsi="宋体" w:cs="宋体"/>
          <w:sz w:val="24"/>
          <w:szCs w:val="22"/>
        </w:rPr>
      </w:pPr>
      <w:r>
        <w:rPr>
          <w:rFonts w:hint="eastAsia" w:ascii="宋体" w:hAnsi="宋体" w:cs="宋体"/>
          <w:sz w:val="24"/>
          <w:szCs w:val="22"/>
        </w:rPr>
        <w:t>1、参加并主持提名委员会召开的1次会议，审核了换届选举拟任候选人等事项，充分了解候选人任职资格、教育背景、品德素养和履职能力，与各位委员达成一致意见后报送公司董事会；</w:t>
      </w:r>
    </w:p>
    <w:p w14:paraId="58A3ADFB">
      <w:pPr>
        <w:widowControl w:val="0"/>
        <w:spacing w:line="360" w:lineRule="auto"/>
        <w:ind w:firstLine="480" w:firstLineChars="200"/>
        <w:rPr>
          <w:rFonts w:ascii="宋体" w:hAnsi="宋体" w:cs="宋体"/>
          <w:sz w:val="24"/>
          <w:szCs w:val="22"/>
        </w:rPr>
      </w:pPr>
      <w:r>
        <w:rPr>
          <w:rFonts w:hint="eastAsia" w:ascii="宋体" w:hAnsi="宋体" w:cs="宋体"/>
          <w:sz w:val="24"/>
          <w:szCs w:val="22"/>
        </w:rPr>
        <w:t>2、参加审计委员会召开的2次会议，审议并讨论了年度审计工作安排、定期财务报告、利润分配方案、内部控制、会计师事务所续聘等事项。严格审查公司内部控制制度及执行情况，与审计会计师进行沟通，协商确定年度财务报告审计工作时间安排，对公司财务报表进行审阅，并就审计过程中发现的问题与相关人员进行沟通，切实履行了审计委员会工作职责；</w:t>
      </w:r>
    </w:p>
    <w:p w14:paraId="1BC8E830">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3、参加薪酬与考核委员会召开的1次会议，就2023年度薪酬与考核委员会工作报告、董事、监事及高级管理人员2023年薪酬确认以及2024年薪酬方案等事项进行审议，与各位委员达成一致意见后报送公司董事会； </w:t>
      </w:r>
    </w:p>
    <w:p w14:paraId="25F3A8E2">
      <w:pPr>
        <w:widowControl w:val="0"/>
        <w:spacing w:line="360" w:lineRule="auto"/>
        <w:ind w:firstLine="480" w:firstLineChars="200"/>
        <w:rPr>
          <w:rFonts w:ascii="宋体" w:hAnsi="宋体" w:cs="宋体"/>
          <w:sz w:val="24"/>
          <w:szCs w:val="22"/>
        </w:rPr>
      </w:pPr>
      <w:r>
        <w:rPr>
          <w:rFonts w:hint="eastAsia" w:ascii="宋体" w:hAnsi="宋体" w:cs="宋体"/>
          <w:sz w:val="24"/>
          <w:szCs w:val="22"/>
        </w:rPr>
        <w:t>4、参加独立董事专门会议召开的1次会议，审议通过了关联交易等事项，关联交易事项履行了必要的法定程序，符合《公司法》《深圳证券交易所创业板股票上市规则》等相关法律法规及规范性文件的规定，不存在损害公司及股东尤其是中小股东利益的情形，符合公司整体长远利益。</w:t>
      </w:r>
    </w:p>
    <w:p w14:paraId="0FA2A51F">
      <w:pPr>
        <w:pStyle w:val="3"/>
        <w:ind w:firstLine="482"/>
        <w:rPr>
          <w:rFonts w:cs="宋体"/>
          <w:szCs w:val="22"/>
        </w:rPr>
      </w:pPr>
      <w:r>
        <w:rPr>
          <w:rFonts w:hint="eastAsia" w:cs="宋体"/>
          <w:szCs w:val="22"/>
        </w:rPr>
        <w:t>（三）</w:t>
      </w:r>
      <w:r>
        <w:rPr>
          <w:rFonts w:hint="eastAsia" w:cs="宋体"/>
          <w:shd w:val="clear" w:color="auto" w:fill="FFFFFF"/>
        </w:rPr>
        <w:t>与内部审计机构及会计师事务所的沟通情况</w:t>
      </w:r>
    </w:p>
    <w:p w14:paraId="6DA5408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与公司内部审计部门及会计师事务所进行积极沟通，特别是年报审计期间，与内部审计人员及会计师事务所对重点审计事项、审计要点、审计人员配备等事项进行沟通，关注审计过程，督促审计进度，确保审计工作的及时、准确、客观、公正。</w:t>
      </w:r>
    </w:p>
    <w:p w14:paraId="77A9193C">
      <w:pPr>
        <w:pStyle w:val="3"/>
        <w:ind w:firstLine="482"/>
        <w:rPr>
          <w:rFonts w:cs="宋体"/>
        </w:rPr>
      </w:pPr>
      <w:r>
        <w:rPr>
          <w:rFonts w:hint="eastAsia" w:cs="宋体"/>
        </w:rPr>
        <w:t>（四）与中小股东的沟通交流情况</w:t>
      </w:r>
    </w:p>
    <w:p w14:paraId="2D3A1ACB">
      <w:pPr>
        <w:widowControl w:val="0"/>
        <w:spacing w:line="360" w:lineRule="auto"/>
        <w:ind w:firstLine="480" w:firstLineChars="200"/>
        <w:rPr>
          <w:rFonts w:ascii="宋体" w:hAnsi="宋体" w:cs="宋体"/>
          <w:sz w:val="24"/>
          <w:szCs w:val="22"/>
        </w:rPr>
      </w:pPr>
      <w:r>
        <w:rPr>
          <w:rFonts w:hint="eastAsia" w:ascii="宋体" w:hAnsi="宋体" w:cs="宋体"/>
          <w:sz w:val="24"/>
        </w:rPr>
        <w:t>报告期的任职期内，本人严格按照有关法律、法规的相关规定履行独立董事的职责。通过股东大会等方式与中小股东进行沟通交流，并以此作为桥梁加强与投资者间的互动，广泛听取投资者的意见和建议。</w:t>
      </w:r>
    </w:p>
    <w:p w14:paraId="2922AB4C">
      <w:pPr>
        <w:pStyle w:val="3"/>
        <w:widowControl w:val="0"/>
        <w:ind w:firstLine="482"/>
        <w:rPr>
          <w:rFonts w:cs="宋体"/>
        </w:rPr>
      </w:pPr>
      <w:r>
        <w:rPr>
          <w:rFonts w:hint="eastAsia" w:cs="宋体"/>
        </w:rPr>
        <w:t>（五）在公司现场工作情况</w:t>
      </w:r>
    </w:p>
    <w:p w14:paraId="32125C6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报告期的任职期内，本人利用参加董事会、股东大会的机会对公司的战略规划、财务情况以及内部制度的建设及执行情况、董事会决议执行情况等进行充分了解， 与公司高管进行交流，了解公司的经营情况。日常经常通过电话、邮件、微信等工具与公司董事、经理层及相关人员保持密切联系，及时获悉公司各项重大事项的进展情况。本人也积极关注公司治理、信息披露事务管理，以及媒体等公共媒介有关公司的宣传和报道，时刻关注外部环境及市场变化对公司的影响，并及时与公司沟通相关内容。</w:t>
      </w:r>
    </w:p>
    <w:p w14:paraId="056E9995">
      <w:pPr>
        <w:pStyle w:val="3"/>
        <w:widowControl w:val="0"/>
        <w:ind w:firstLine="482"/>
        <w:rPr>
          <w:rFonts w:cs="宋体"/>
        </w:rPr>
      </w:pPr>
      <w:r>
        <w:rPr>
          <w:rFonts w:hint="eastAsia" w:cs="宋体"/>
        </w:rPr>
        <w:t>（六）公司配合独立董事工作情况</w:t>
      </w:r>
    </w:p>
    <w:p w14:paraId="7F06A046">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独立董事行使职权提供了必要的工作条件并给予了积极有效的配合和支持，向本人详细讲解了公司的生产经营情况，提交了详细的会议文件，使本人能够依据相关材料和信息，作出独立、公正的判断。</w:t>
      </w:r>
    </w:p>
    <w:p w14:paraId="456695F9">
      <w:pPr>
        <w:pStyle w:val="2"/>
        <w:keepNext w:val="0"/>
        <w:keepLines w:val="0"/>
        <w:widowControl w:val="0"/>
        <w:spacing w:before="156" w:beforeLines="50" w:after="156" w:afterLines="50" w:line="360" w:lineRule="auto"/>
        <w:rPr>
          <w:rFonts w:ascii="宋体" w:hAnsi="宋体" w:cs="宋体"/>
          <w:bCs/>
          <w:szCs w:val="44"/>
        </w:rPr>
      </w:pPr>
      <w:bookmarkStart w:id="0" w:name="_Hlk161840145"/>
      <w:r>
        <w:rPr>
          <w:rFonts w:hint="eastAsia" w:ascii="宋体" w:hAnsi="宋体" w:cs="宋体"/>
          <w:bCs/>
          <w:szCs w:val="44"/>
        </w:rPr>
        <w:t>三、独立董事年度履职重点关注事项的情况</w:t>
      </w:r>
    </w:p>
    <w:p w14:paraId="0B9441B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报告期的任职期内，本人严格按照《公司法》《上市公司独立董事管理办法》等法律法规及《公司章程》的规定，勤勉尽责、独立、客观、公正地履行独立董事职责，重点关注事项如下：</w:t>
      </w:r>
    </w:p>
    <w:p w14:paraId="51A984D6">
      <w:pPr>
        <w:pStyle w:val="3"/>
        <w:widowControl w:val="0"/>
        <w:ind w:firstLine="482"/>
        <w:rPr>
          <w:rFonts w:cs="宋体"/>
        </w:rPr>
      </w:pPr>
      <w:r>
        <w:rPr>
          <w:rFonts w:hint="eastAsia" w:cs="宋体"/>
        </w:rPr>
        <w:t>（一）应当披露的关联交易情况</w:t>
      </w:r>
    </w:p>
    <w:p w14:paraId="6F59D58A">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1月9日，公司召开第四届董事会第二十八次会议审议通过了《关于对外投资设立控股子公司暨关联交易的议案》。本人对该事项发表了事前认可意见和同意的独立意见；2024年3月29日，公司召开第四届董事会第二十九次会议审议通过了《关于终止部分&lt;技术服务合同&gt;暨关联交易的议案》。本人对该事项发表了同意的审核意见。</w:t>
      </w:r>
    </w:p>
    <w:p w14:paraId="6461FA21">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应披露的关联交易已按照现行法律法规和公司章程的规定，遵照市场化原则公平、公允、公正地确定交易价格，并履行必要的审议和披露程序。不存在损害公司及公司股东合法权益，特别是中小股东利益的情形。</w:t>
      </w:r>
    </w:p>
    <w:p w14:paraId="1DC5AC84">
      <w:pPr>
        <w:pStyle w:val="3"/>
        <w:widowControl w:val="0"/>
        <w:ind w:firstLine="482"/>
        <w:rPr>
          <w:rFonts w:cs="宋体"/>
        </w:rPr>
      </w:pPr>
      <w:r>
        <w:rPr>
          <w:rFonts w:hint="eastAsia" w:cs="宋体"/>
        </w:rPr>
        <w:t>（二）定期报告、内部控制评价报告披露情况</w:t>
      </w:r>
    </w:p>
    <w:p w14:paraId="4378065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对公司的财务会计报告及定期报告中的财务信息、内部控制评价报告进行了重点关注和监督，本人认为公司的财务会计报告及定期报告中的财务信息、内部控制评价报告真实、准确、完整，符合相关法律法规的要求，没有重大的虚假记载、误导性陈述或重大遗漏。</w:t>
      </w:r>
    </w:p>
    <w:p w14:paraId="6E980EE5">
      <w:pPr>
        <w:pStyle w:val="3"/>
        <w:widowControl w:val="0"/>
        <w:ind w:firstLine="482"/>
        <w:rPr>
          <w:rFonts w:cs="宋体"/>
        </w:rPr>
      </w:pPr>
      <w:r>
        <w:rPr>
          <w:rFonts w:hint="eastAsia" w:cs="宋体"/>
        </w:rPr>
        <w:t>（三）聘用会计师事务所情况</w:t>
      </w:r>
    </w:p>
    <w:p w14:paraId="082C7647">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2024年4月18日，公司召开第四届董事会第三十次会议，审议通过了《关于续聘公司2024年度会计师事务所的议案》，同意公司续聘大华会计师事务所（特殊普通合伙）为公司2024年度财务报告及内部控制的审计机构。</w:t>
      </w:r>
    </w:p>
    <w:p w14:paraId="313F3F28">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5月13日，公司召开2023年年度股东大会，议案《关于续聘公司2024年度会计师事务所的议案》未获得通过。鉴于拟聘会计师事务所近期相关事项尚待公司进一步核实，经公司与大华会计师事务所（特殊普通合伙）协商，基于审慎原则，该议案未获得表决通过。</w:t>
      </w:r>
    </w:p>
    <w:p w14:paraId="08CF591A">
      <w:pPr>
        <w:pStyle w:val="3"/>
        <w:widowControl w:val="0"/>
        <w:ind w:firstLine="482"/>
        <w:rPr>
          <w:rFonts w:cs="宋体"/>
        </w:rPr>
      </w:pPr>
      <w:r>
        <w:rPr>
          <w:rFonts w:hint="eastAsia" w:cs="宋体"/>
        </w:rPr>
        <w:t>（四）董事、高级管理人员的薪酬情况</w:t>
      </w:r>
    </w:p>
    <w:p w14:paraId="1599FBF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董事及高级管理人员的薪酬符合公司绩效考核和薪酬制度的管理规定，严格按照考核结果发放，且薪酬方案科学、合理，符合行业薪酬水平与公司实际情况，不存在损害公司及公司股东特别是中小股东利益的情形。</w:t>
      </w:r>
    </w:p>
    <w:bookmarkEnd w:id="0"/>
    <w:p w14:paraId="1651D721">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四、总体评价和建议</w:t>
      </w:r>
    </w:p>
    <w:p w14:paraId="5CB6D25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本人各项工作的开展给予了大力的配合。本人始终坚持谨慎、勤勉、忠实的原则履行独立董事职责，在董事会召开之前审阅议案资料，在公司年审工作中充分发表意见，独立、客观、审慎地行使表决权。与公司董事会、监事会、经营管理层之间进行了良好有效的沟通。利用自身专业知识和经验，积极主动参与公司决策，认真审议公司董事会等会议的各项议案，推动公司不断完善治理结构，提高运作水平。切实维护了公司和全体股东，特别是中小股东的合法权益，促进公司的健康持续发展。</w:t>
      </w:r>
    </w:p>
    <w:p w14:paraId="6CB167FE">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本人在第四届董事会完成换届选举后不再担任公司任何职务，感谢公司董事会、管理层及相关人员，在本人履职的过程中给予的有效配合与支持。 </w:t>
      </w:r>
    </w:p>
    <w:p w14:paraId="6CEF612C">
      <w:pPr>
        <w:spacing w:before="156" w:beforeLines="50" w:line="360" w:lineRule="auto"/>
        <w:ind w:firstLine="480" w:firstLineChars="200"/>
        <w:rPr>
          <w:rFonts w:ascii="宋体" w:hAnsi="宋体" w:cs="宋体"/>
          <w:sz w:val="24"/>
          <w:szCs w:val="22"/>
        </w:rPr>
      </w:pPr>
      <w:r>
        <w:rPr>
          <w:rFonts w:hint="eastAsia" w:ascii="宋体" w:hAnsi="宋体" w:cs="宋体"/>
          <w:sz w:val="24"/>
          <w:szCs w:val="22"/>
        </w:rPr>
        <w:t xml:space="preserve">特此报告。 </w:t>
      </w:r>
    </w:p>
    <w:p w14:paraId="366FD663">
      <w:pPr>
        <w:spacing w:before="312" w:beforeLines="100" w:line="360" w:lineRule="auto"/>
        <w:ind w:firstLine="480" w:firstLineChars="200"/>
        <w:rPr>
          <w:rFonts w:ascii="宋体" w:hAnsi="宋体" w:cs="宋体"/>
          <w:sz w:val="24"/>
          <w:szCs w:val="22"/>
        </w:rPr>
      </w:pPr>
    </w:p>
    <w:p w14:paraId="45F0BD65">
      <w:pPr>
        <w:spacing w:line="360" w:lineRule="auto"/>
        <w:jc w:val="right"/>
        <w:rPr>
          <w:rFonts w:ascii="宋体" w:hAnsi="宋体" w:cs="宋体"/>
          <w:sz w:val="24"/>
          <w:szCs w:val="22"/>
        </w:rPr>
      </w:pPr>
      <w:r>
        <w:rPr>
          <w:rFonts w:hint="eastAsia" w:ascii="宋体" w:hAnsi="宋体" w:cs="宋体"/>
          <w:sz w:val="24"/>
          <w:szCs w:val="22"/>
        </w:rPr>
        <w:t xml:space="preserve">                                      独立董事：陈明宇</w:t>
      </w:r>
    </w:p>
    <w:p w14:paraId="7ECD3B9F">
      <w:pPr>
        <w:spacing w:line="360" w:lineRule="auto"/>
        <w:jc w:val="right"/>
        <w:rPr>
          <w:rFonts w:hint="eastAsia" w:ascii="宋体" w:hAnsi="宋体" w:cs="宋体"/>
          <w:sz w:val="22"/>
          <w:szCs w:val="21"/>
        </w:rPr>
      </w:pPr>
      <w:r>
        <w:rPr>
          <w:rFonts w:ascii="宋体" w:hAnsi="宋体" w:cs="宋体"/>
          <w:sz w:val="24"/>
          <w:szCs w:val="22"/>
        </w:rPr>
        <w:t>2025</w:t>
      </w:r>
      <w:r>
        <w:rPr>
          <w:rFonts w:hint="eastAsia" w:ascii="宋体" w:hAnsi="宋体" w:cs="宋体"/>
          <w:sz w:val="24"/>
          <w:szCs w:val="22"/>
        </w:rPr>
        <w:t>年4月1</w:t>
      </w:r>
      <w:r>
        <w:rPr>
          <w:rFonts w:hint="eastAsia" w:ascii="宋体" w:hAnsi="宋体" w:cs="宋体"/>
          <w:sz w:val="24"/>
          <w:szCs w:val="22"/>
          <w:lang w:val="en-US" w:eastAsia="zh-CN"/>
        </w:rPr>
        <w:t>7</w:t>
      </w:r>
      <w:bookmarkStart w:id="1" w:name="_GoBack"/>
      <w:bookmarkEnd w:id="1"/>
      <w:r>
        <w:rPr>
          <w:rFonts w:hint="eastAsia" w:ascii="宋体" w:hAnsi="宋体" w:cs="宋体"/>
          <w:sz w:val="24"/>
          <w:szCs w:val="22"/>
        </w:rPr>
        <w:t>日</w:t>
      </w:r>
    </w:p>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C9A95">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s>
  <w:rsids>
    <w:rsidRoot w:val="00172A27"/>
    <w:rsid w:val="000436E7"/>
    <w:rsid w:val="00054B91"/>
    <w:rsid w:val="000A1409"/>
    <w:rsid w:val="000A2E0D"/>
    <w:rsid w:val="000A5E83"/>
    <w:rsid w:val="000D4183"/>
    <w:rsid w:val="001223DC"/>
    <w:rsid w:val="00147C4D"/>
    <w:rsid w:val="00172A27"/>
    <w:rsid w:val="00196A17"/>
    <w:rsid w:val="001A7213"/>
    <w:rsid w:val="00297361"/>
    <w:rsid w:val="002D475A"/>
    <w:rsid w:val="00307E40"/>
    <w:rsid w:val="00377D09"/>
    <w:rsid w:val="003C3EA5"/>
    <w:rsid w:val="003D2A1A"/>
    <w:rsid w:val="004B06D5"/>
    <w:rsid w:val="005115B1"/>
    <w:rsid w:val="00516EC6"/>
    <w:rsid w:val="005213F3"/>
    <w:rsid w:val="00566D1A"/>
    <w:rsid w:val="005D5ECC"/>
    <w:rsid w:val="006A5A2C"/>
    <w:rsid w:val="006C2BD3"/>
    <w:rsid w:val="0070573E"/>
    <w:rsid w:val="00712778"/>
    <w:rsid w:val="00766D3A"/>
    <w:rsid w:val="00790127"/>
    <w:rsid w:val="00794955"/>
    <w:rsid w:val="007B10A7"/>
    <w:rsid w:val="007F5F03"/>
    <w:rsid w:val="00A06C97"/>
    <w:rsid w:val="00AF28C2"/>
    <w:rsid w:val="00B87F4E"/>
    <w:rsid w:val="00C17087"/>
    <w:rsid w:val="00C31956"/>
    <w:rsid w:val="00C70D88"/>
    <w:rsid w:val="00CD055E"/>
    <w:rsid w:val="00CE2722"/>
    <w:rsid w:val="00CF7089"/>
    <w:rsid w:val="00D72358"/>
    <w:rsid w:val="00D759E4"/>
    <w:rsid w:val="00DA4753"/>
    <w:rsid w:val="00E02088"/>
    <w:rsid w:val="00E3168B"/>
    <w:rsid w:val="00E870B5"/>
    <w:rsid w:val="00F14A85"/>
    <w:rsid w:val="00F14BC9"/>
    <w:rsid w:val="00F4113D"/>
    <w:rsid w:val="00F52B42"/>
    <w:rsid w:val="00F63307"/>
    <w:rsid w:val="00F80F63"/>
    <w:rsid w:val="00F85C83"/>
    <w:rsid w:val="00FA185E"/>
    <w:rsid w:val="00FB2E3F"/>
    <w:rsid w:val="00FE40F6"/>
    <w:rsid w:val="01004732"/>
    <w:rsid w:val="018A0E13"/>
    <w:rsid w:val="024824CB"/>
    <w:rsid w:val="0279651D"/>
    <w:rsid w:val="050745CD"/>
    <w:rsid w:val="061C6D0B"/>
    <w:rsid w:val="064674D8"/>
    <w:rsid w:val="06B06402"/>
    <w:rsid w:val="07002189"/>
    <w:rsid w:val="07107A01"/>
    <w:rsid w:val="073F54F1"/>
    <w:rsid w:val="07776E98"/>
    <w:rsid w:val="079061F5"/>
    <w:rsid w:val="086055C9"/>
    <w:rsid w:val="087E3C7F"/>
    <w:rsid w:val="09B3627A"/>
    <w:rsid w:val="0AFD3352"/>
    <w:rsid w:val="0B1D276A"/>
    <w:rsid w:val="0C1237DB"/>
    <w:rsid w:val="0C293400"/>
    <w:rsid w:val="0C2C3B9B"/>
    <w:rsid w:val="0C5145C5"/>
    <w:rsid w:val="0C5D03D7"/>
    <w:rsid w:val="0CF1458C"/>
    <w:rsid w:val="0D2B64A6"/>
    <w:rsid w:val="0D624402"/>
    <w:rsid w:val="0D9A7DDF"/>
    <w:rsid w:val="0E134225"/>
    <w:rsid w:val="0E434D74"/>
    <w:rsid w:val="0F1108C5"/>
    <w:rsid w:val="0F2C4CF2"/>
    <w:rsid w:val="1014610A"/>
    <w:rsid w:val="10790217"/>
    <w:rsid w:val="110C1984"/>
    <w:rsid w:val="13152482"/>
    <w:rsid w:val="13B43E61"/>
    <w:rsid w:val="13F130E9"/>
    <w:rsid w:val="140C3064"/>
    <w:rsid w:val="14750C21"/>
    <w:rsid w:val="14F55AF2"/>
    <w:rsid w:val="15F644F0"/>
    <w:rsid w:val="15FB679E"/>
    <w:rsid w:val="170877B8"/>
    <w:rsid w:val="172018FF"/>
    <w:rsid w:val="17E76B7B"/>
    <w:rsid w:val="17F7713F"/>
    <w:rsid w:val="19384807"/>
    <w:rsid w:val="1940737B"/>
    <w:rsid w:val="1A554F3D"/>
    <w:rsid w:val="1A68351D"/>
    <w:rsid w:val="1AA90ECC"/>
    <w:rsid w:val="1B213295"/>
    <w:rsid w:val="1B554868"/>
    <w:rsid w:val="1B826631"/>
    <w:rsid w:val="1C435E9C"/>
    <w:rsid w:val="1C8361D3"/>
    <w:rsid w:val="1D746DE1"/>
    <w:rsid w:val="1D823B78"/>
    <w:rsid w:val="1E0B27D7"/>
    <w:rsid w:val="1EEA1C76"/>
    <w:rsid w:val="1F1F489E"/>
    <w:rsid w:val="1F682713"/>
    <w:rsid w:val="1FA060F1"/>
    <w:rsid w:val="1FCA14B3"/>
    <w:rsid w:val="1FD707C9"/>
    <w:rsid w:val="1FE33A99"/>
    <w:rsid w:val="203C5F6F"/>
    <w:rsid w:val="204D3C8B"/>
    <w:rsid w:val="20780352"/>
    <w:rsid w:val="209306CE"/>
    <w:rsid w:val="21001530"/>
    <w:rsid w:val="2171636C"/>
    <w:rsid w:val="230C6077"/>
    <w:rsid w:val="233649D3"/>
    <w:rsid w:val="233B0E5B"/>
    <w:rsid w:val="23EA7CFA"/>
    <w:rsid w:val="24986B99"/>
    <w:rsid w:val="24CF1271"/>
    <w:rsid w:val="24E64719"/>
    <w:rsid w:val="253C3E23"/>
    <w:rsid w:val="256B4972"/>
    <w:rsid w:val="256E359F"/>
    <w:rsid w:val="257B169F"/>
    <w:rsid w:val="2600395D"/>
    <w:rsid w:val="261A398C"/>
    <w:rsid w:val="261C413A"/>
    <w:rsid w:val="263E6EC9"/>
    <w:rsid w:val="268044BB"/>
    <w:rsid w:val="27B35B31"/>
    <w:rsid w:val="28046835"/>
    <w:rsid w:val="28D94B5E"/>
    <w:rsid w:val="29104BD4"/>
    <w:rsid w:val="29AF6584"/>
    <w:rsid w:val="29E72BF1"/>
    <w:rsid w:val="2A333A10"/>
    <w:rsid w:val="2A7E3A46"/>
    <w:rsid w:val="2A8D625F"/>
    <w:rsid w:val="2B070127"/>
    <w:rsid w:val="2B2B15E0"/>
    <w:rsid w:val="2BA17DF7"/>
    <w:rsid w:val="2BFA09B4"/>
    <w:rsid w:val="2C0C34F7"/>
    <w:rsid w:val="2C1D1E6D"/>
    <w:rsid w:val="2C5A1CD2"/>
    <w:rsid w:val="2CE77338"/>
    <w:rsid w:val="2D0D1776"/>
    <w:rsid w:val="2D2D7B0B"/>
    <w:rsid w:val="2DDF78D0"/>
    <w:rsid w:val="2E1732AD"/>
    <w:rsid w:val="2E9637FB"/>
    <w:rsid w:val="2FA20835"/>
    <w:rsid w:val="2FD82F0E"/>
    <w:rsid w:val="30BA0288"/>
    <w:rsid w:val="30C51891"/>
    <w:rsid w:val="312572AF"/>
    <w:rsid w:val="32506E1A"/>
    <w:rsid w:val="326E63CA"/>
    <w:rsid w:val="34D73340"/>
    <w:rsid w:val="34FE3200"/>
    <w:rsid w:val="35002E80"/>
    <w:rsid w:val="3518034F"/>
    <w:rsid w:val="36AB673F"/>
    <w:rsid w:val="36D265FE"/>
    <w:rsid w:val="37F83D4F"/>
    <w:rsid w:val="3A9337A6"/>
    <w:rsid w:val="3AAD2152"/>
    <w:rsid w:val="3AED5139"/>
    <w:rsid w:val="3B044D5F"/>
    <w:rsid w:val="3B48454E"/>
    <w:rsid w:val="3B514E5E"/>
    <w:rsid w:val="3BA450D3"/>
    <w:rsid w:val="3BD935DE"/>
    <w:rsid w:val="3C2506B9"/>
    <w:rsid w:val="3D25605E"/>
    <w:rsid w:val="3D394CFE"/>
    <w:rsid w:val="3D754DAD"/>
    <w:rsid w:val="3D793569"/>
    <w:rsid w:val="3D98639D"/>
    <w:rsid w:val="3DDB2309"/>
    <w:rsid w:val="3F285FD4"/>
    <w:rsid w:val="3F486108"/>
    <w:rsid w:val="3F80043B"/>
    <w:rsid w:val="403E2E27"/>
    <w:rsid w:val="408E0724"/>
    <w:rsid w:val="40E55784"/>
    <w:rsid w:val="411C36E0"/>
    <w:rsid w:val="41FE466F"/>
    <w:rsid w:val="421922FE"/>
    <w:rsid w:val="423914D6"/>
    <w:rsid w:val="42DB23BC"/>
    <w:rsid w:val="43706133"/>
    <w:rsid w:val="43E630BB"/>
    <w:rsid w:val="445F032C"/>
    <w:rsid w:val="45DE3CAE"/>
    <w:rsid w:val="46145CE6"/>
    <w:rsid w:val="462E4D32"/>
    <w:rsid w:val="46A71178"/>
    <w:rsid w:val="478B11C3"/>
    <w:rsid w:val="47BC5EAE"/>
    <w:rsid w:val="481B3258"/>
    <w:rsid w:val="482D2279"/>
    <w:rsid w:val="49156D44"/>
    <w:rsid w:val="495C4A24"/>
    <w:rsid w:val="49765A93"/>
    <w:rsid w:val="49B06B72"/>
    <w:rsid w:val="49FA3AEE"/>
    <w:rsid w:val="4A0D148A"/>
    <w:rsid w:val="4A1C7526"/>
    <w:rsid w:val="4A393588"/>
    <w:rsid w:val="4A3F65B8"/>
    <w:rsid w:val="4BFC1FBA"/>
    <w:rsid w:val="4C2C109F"/>
    <w:rsid w:val="4C782862"/>
    <w:rsid w:val="4CF856D5"/>
    <w:rsid w:val="4D1107FD"/>
    <w:rsid w:val="4DA63808"/>
    <w:rsid w:val="4DFE2953"/>
    <w:rsid w:val="4EB878B4"/>
    <w:rsid w:val="4F400A92"/>
    <w:rsid w:val="4F625046"/>
    <w:rsid w:val="4FA233AD"/>
    <w:rsid w:val="51DF265F"/>
    <w:rsid w:val="52EE029E"/>
    <w:rsid w:val="546D070F"/>
    <w:rsid w:val="54D51413"/>
    <w:rsid w:val="552B1DC7"/>
    <w:rsid w:val="55735A3E"/>
    <w:rsid w:val="55CE28D5"/>
    <w:rsid w:val="55DD4DF6"/>
    <w:rsid w:val="566E44C7"/>
    <w:rsid w:val="56C53152"/>
    <w:rsid w:val="57341536"/>
    <w:rsid w:val="57F80C60"/>
    <w:rsid w:val="5A540ABF"/>
    <w:rsid w:val="5ACB3F81"/>
    <w:rsid w:val="5C1E5B2C"/>
    <w:rsid w:val="5C813653"/>
    <w:rsid w:val="5CB479E2"/>
    <w:rsid w:val="5D3665F9"/>
    <w:rsid w:val="5D504448"/>
    <w:rsid w:val="5DA311AC"/>
    <w:rsid w:val="5DEF70AD"/>
    <w:rsid w:val="5E4567B6"/>
    <w:rsid w:val="5EE83A41"/>
    <w:rsid w:val="5F9E226B"/>
    <w:rsid w:val="5FCB78B7"/>
    <w:rsid w:val="5FD274EE"/>
    <w:rsid w:val="60CC4EDB"/>
    <w:rsid w:val="60FF4431"/>
    <w:rsid w:val="61916AE8"/>
    <w:rsid w:val="61B6615E"/>
    <w:rsid w:val="62BF6990"/>
    <w:rsid w:val="62D70186"/>
    <w:rsid w:val="636778A0"/>
    <w:rsid w:val="63CC5849"/>
    <w:rsid w:val="64AC4EB7"/>
    <w:rsid w:val="650023C2"/>
    <w:rsid w:val="65701A9C"/>
    <w:rsid w:val="65AF239A"/>
    <w:rsid w:val="65B243E4"/>
    <w:rsid w:val="65E36238"/>
    <w:rsid w:val="66333A39"/>
    <w:rsid w:val="667B76B0"/>
    <w:rsid w:val="677B255A"/>
    <w:rsid w:val="67891DEC"/>
    <w:rsid w:val="67BA07B7"/>
    <w:rsid w:val="67EC080C"/>
    <w:rsid w:val="68562439"/>
    <w:rsid w:val="68845596"/>
    <w:rsid w:val="68B63758"/>
    <w:rsid w:val="693C1432"/>
    <w:rsid w:val="6A605D12"/>
    <w:rsid w:val="6A752434"/>
    <w:rsid w:val="6AAC3C13"/>
    <w:rsid w:val="6AD220D3"/>
    <w:rsid w:val="6B7226D7"/>
    <w:rsid w:val="6C0F21D5"/>
    <w:rsid w:val="6C4B4B68"/>
    <w:rsid w:val="6C4C4ACD"/>
    <w:rsid w:val="6CBC4B3B"/>
    <w:rsid w:val="6D9E6164"/>
    <w:rsid w:val="6E12425E"/>
    <w:rsid w:val="6E4E2A84"/>
    <w:rsid w:val="6F8E4AF7"/>
    <w:rsid w:val="6FF07C32"/>
    <w:rsid w:val="700468D2"/>
    <w:rsid w:val="700D4FE4"/>
    <w:rsid w:val="707C3099"/>
    <w:rsid w:val="70A63EDD"/>
    <w:rsid w:val="710D4B86"/>
    <w:rsid w:val="71CE3C38"/>
    <w:rsid w:val="72053EA8"/>
    <w:rsid w:val="72910586"/>
    <w:rsid w:val="73616755"/>
    <w:rsid w:val="738A4F1A"/>
    <w:rsid w:val="73925BAA"/>
    <w:rsid w:val="73BD72EC"/>
    <w:rsid w:val="74221778"/>
    <w:rsid w:val="748154B2"/>
    <w:rsid w:val="74B10200"/>
    <w:rsid w:val="74B25C81"/>
    <w:rsid w:val="7510601B"/>
    <w:rsid w:val="755F4925"/>
    <w:rsid w:val="763273F7"/>
    <w:rsid w:val="76F27835"/>
    <w:rsid w:val="77690779"/>
    <w:rsid w:val="77C13386"/>
    <w:rsid w:val="78363509"/>
    <w:rsid w:val="784F725C"/>
    <w:rsid w:val="7A953169"/>
    <w:rsid w:val="7AA82DC9"/>
    <w:rsid w:val="7B595482"/>
    <w:rsid w:val="7BCC54AA"/>
    <w:rsid w:val="7C12239B"/>
    <w:rsid w:val="7D343777"/>
    <w:rsid w:val="7D3533F7"/>
    <w:rsid w:val="7E5E415E"/>
    <w:rsid w:val="7E6A6590"/>
    <w:rsid w:val="7EC10E3C"/>
    <w:rsid w:val="7F046701"/>
    <w:rsid w:val="7F0C2FFD"/>
    <w:rsid w:val="7F4A6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480" w:lineRule="auto"/>
      <w:outlineLvl w:val="0"/>
    </w:pPr>
    <w:rPr>
      <w:b/>
      <w:kern w:val="44"/>
      <w:sz w:val="24"/>
    </w:rPr>
  </w:style>
  <w:style w:type="paragraph" w:styleId="3">
    <w:name w:val="heading 2"/>
    <w:basedOn w:val="1"/>
    <w:next w:val="1"/>
    <w:unhideWhenUsed/>
    <w:qFormat/>
    <w:uiPriority w:val="0"/>
    <w:pPr>
      <w:spacing w:line="360" w:lineRule="auto"/>
      <w:ind w:firstLine="200" w:firstLineChars="200"/>
      <w:outlineLvl w:val="1"/>
    </w:pPr>
    <w:rPr>
      <w:rFonts w:ascii="宋体" w:hAnsi="宋体" w:cstheme="majorBidi"/>
      <w:b/>
      <w:bCs/>
      <w:sz w:val="24"/>
      <w:szCs w:val="32"/>
    </w:rPr>
  </w:style>
  <w:style w:type="paragraph" w:styleId="4">
    <w:name w:val="heading 3"/>
    <w:basedOn w:val="1"/>
    <w:next w:val="1"/>
    <w:qFormat/>
    <w:uiPriority w:val="9"/>
    <w:pPr>
      <w:keepNext/>
      <w:keepLines/>
      <w:spacing w:before="260" w:after="260" w:line="360" w:lineRule="auto"/>
      <w:outlineLvl w:val="2"/>
    </w:pPr>
    <w:rPr>
      <w:b/>
      <w:sz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4"/>
    <w:unhideWhenUsed/>
    <w:qFormat/>
    <w:uiPriority w:val="99"/>
    <w:pPr>
      <w:jc w:val="left"/>
    </w:pPr>
  </w:style>
  <w:style w:type="paragraph" w:styleId="6">
    <w:name w:val="Balloon Text"/>
    <w:basedOn w:val="1"/>
    <w:link w:val="15"/>
    <w:unhideWhenUsed/>
    <w:qFormat/>
    <w:uiPriority w:val="99"/>
    <w:rPr>
      <w:sz w:val="18"/>
      <w:szCs w:val="18"/>
    </w:rPr>
  </w:style>
  <w:style w:type="paragraph" w:styleId="7">
    <w:name w:val="footer"/>
    <w:basedOn w:val="1"/>
    <w:link w:val="20"/>
    <w:qFormat/>
    <w:uiPriority w:val="99"/>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annotation subject"/>
    <w:basedOn w:val="5"/>
    <w:next w:val="5"/>
    <w:link w:val="16"/>
    <w:unhideWhenUsed/>
    <w:qFormat/>
    <w:uiPriority w:val="99"/>
    <w:rPr>
      <w:b/>
      <w:bCs/>
    </w:rPr>
  </w:style>
  <w:style w:type="character" w:styleId="12">
    <w:name w:val="Strong"/>
    <w:basedOn w:val="11"/>
    <w:qFormat/>
    <w:uiPriority w:val="22"/>
    <w:rPr>
      <w:b/>
      <w:bCs/>
    </w:rPr>
  </w:style>
  <w:style w:type="character" w:styleId="13">
    <w:name w:val="annotation reference"/>
    <w:unhideWhenUsed/>
    <w:qFormat/>
    <w:uiPriority w:val="99"/>
    <w:rPr>
      <w:sz w:val="21"/>
      <w:szCs w:val="21"/>
    </w:rPr>
  </w:style>
  <w:style w:type="character" w:customStyle="1" w:styleId="14">
    <w:name w:val="批注文字 字符"/>
    <w:link w:val="5"/>
    <w:qFormat/>
    <w:uiPriority w:val="99"/>
    <w:rPr>
      <w:kern w:val="2"/>
      <w:sz w:val="21"/>
    </w:rPr>
  </w:style>
  <w:style w:type="character" w:customStyle="1" w:styleId="15">
    <w:name w:val="批注框文本 字符"/>
    <w:link w:val="6"/>
    <w:semiHidden/>
    <w:qFormat/>
    <w:uiPriority w:val="99"/>
    <w:rPr>
      <w:kern w:val="2"/>
      <w:sz w:val="18"/>
      <w:szCs w:val="18"/>
    </w:rPr>
  </w:style>
  <w:style w:type="character" w:customStyle="1" w:styleId="16">
    <w:name w:val="批注主题 字符"/>
    <w:link w:val="9"/>
    <w:semiHidden/>
    <w:qFormat/>
    <w:uiPriority w:val="99"/>
    <w:rPr>
      <w:b/>
      <w:bCs/>
      <w:kern w:val="2"/>
      <w:sz w:val="21"/>
    </w:rPr>
  </w:style>
  <w:style w:type="paragraph" w:customStyle="1" w:styleId="17">
    <w:name w:val="Default"/>
    <w:unhideWhenUsed/>
    <w:qFormat/>
    <w:uiPriority w:val="99"/>
    <w:pPr>
      <w:widowControl w:val="0"/>
      <w:autoSpaceDE w:val="0"/>
      <w:autoSpaceDN w:val="0"/>
      <w:adjustRightInd w:val="0"/>
    </w:pPr>
    <w:rPr>
      <w:rFonts w:hint="eastAsia" w:ascii="黑体" w:hAnsi="黑体" w:eastAsia="黑体" w:cs="Times New Roman"/>
      <w:color w:val="000000"/>
      <w:sz w:val="24"/>
      <w:lang w:val="en-US" w:eastAsia="zh-CN" w:bidi="ar-SA"/>
    </w:rPr>
  </w:style>
  <w:style w:type="paragraph" w:customStyle="1" w:styleId="18">
    <w:name w:val="修订1"/>
    <w:hidden/>
    <w:unhideWhenUsed/>
    <w:qFormat/>
    <w:uiPriority w:val="99"/>
    <w:rPr>
      <w:rFonts w:ascii="Times New Roman" w:hAnsi="Times New Roman" w:eastAsia="宋体" w:cs="Times New Roman"/>
      <w:kern w:val="2"/>
      <w:sz w:val="21"/>
      <w:lang w:val="en-US" w:eastAsia="zh-CN" w:bidi="ar-SA"/>
    </w:rPr>
  </w:style>
  <w:style w:type="character" w:customStyle="1" w:styleId="19">
    <w:name w:val="标题 3 字符1"/>
    <w:qFormat/>
    <w:uiPriority w:val="9"/>
    <w:rPr>
      <w:rFonts w:ascii="Calibri" w:hAnsi="Calibri" w:eastAsia="宋体"/>
      <w:b/>
      <w:sz w:val="24"/>
    </w:rPr>
  </w:style>
  <w:style w:type="character" w:customStyle="1" w:styleId="20">
    <w:name w:val="页脚 字符"/>
    <w:basedOn w:val="11"/>
    <w:link w:val="7"/>
    <w:qFormat/>
    <w:uiPriority w:val="99"/>
    <w:rPr>
      <w:kern w:val="2"/>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3485</Words>
  <Characters>3544</Characters>
  <Lines>1</Lines>
  <Paragraphs>7</Paragraphs>
  <TotalTime>0</TotalTime>
  <ScaleCrop>false</ScaleCrop>
  <LinksUpToDate>false</LinksUpToDate>
  <CharactersWithSpaces>3589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2024-03-21T08:45:00Z</dcterms:created>
  <dc:creator>王琴</dc:creator>
  <cp:lastModifiedBy>cdq</cp:lastModifiedBy>
  <cp:lastPrinted>2024-04-12T07:33:00Z</cp:lastPrinted>
  <dcterms:modified xsi:type="dcterms:W3CDTF">2025-04-14T06:31:11Z</dcterms:modified>
  <dc:title>福建广生堂药业股份有限公司</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B5841FEEC7744E43AC1B59D964C9DF12</vt:lpwstr>
  </property>
  <property fmtid="{D5CDD505-2E9C-101B-9397-08002B2CF9AE}" pid="4" name="KSOTemplateDocerSaveRecord">
    <vt:lpwstr>eyJoZGlkIjoiY2Q4MDAzNjNiM2EwYjNjY2VkN2I2ZWY4OTg5YTA1ZWYiLCJ1c2VySWQiOiIxMzk5OTUwMzQxIn0=</vt:lpwstr>
  </property>
</Properties>
</file>